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A19C" w14:textId="3FD24C51" w:rsidR="00D33F1F" w:rsidRPr="00DC3507" w:rsidRDefault="00C37627" w:rsidP="00C37627">
      <w:pPr>
        <w:spacing w:after="0" w:line="240" w:lineRule="auto"/>
        <w:jc w:val="both"/>
        <w:rPr>
          <w:rFonts w:ascii="Lato" w:hAnsi="Lato"/>
          <w:b/>
          <w:bCs/>
          <w:sz w:val="22"/>
          <w:szCs w:val="22"/>
        </w:rPr>
      </w:pPr>
      <w:r w:rsidRPr="00DC3507">
        <w:rPr>
          <w:rFonts w:ascii="Lato" w:hAnsi="Lato"/>
          <w:b/>
          <w:bCs/>
          <w:sz w:val="22"/>
          <w:szCs w:val="22"/>
        </w:rPr>
        <w:t xml:space="preserve">Neue </w:t>
      </w:r>
      <w:proofErr w:type="gramStart"/>
      <w:r w:rsidRPr="00DC3507">
        <w:rPr>
          <w:rFonts w:ascii="Lato" w:hAnsi="Lato"/>
          <w:b/>
          <w:bCs/>
          <w:sz w:val="22"/>
          <w:szCs w:val="22"/>
        </w:rPr>
        <w:t>BGH Entscheidung</w:t>
      </w:r>
      <w:proofErr w:type="gramEnd"/>
      <w:r w:rsidRPr="00DC3507">
        <w:rPr>
          <w:rFonts w:ascii="Lato" w:hAnsi="Lato"/>
          <w:b/>
          <w:bCs/>
          <w:sz w:val="22"/>
          <w:szCs w:val="22"/>
        </w:rPr>
        <w:t xml:space="preserve"> zum Unterhalt bei erweitertem Umgang</w:t>
      </w:r>
    </w:p>
    <w:p w14:paraId="1BB217DB" w14:textId="77777777" w:rsidR="00C37627" w:rsidRDefault="00C37627" w:rsidP="00C37627">
      <w:pPr>
        <w:spacing w:after="0" w:line="240" w:lineRule="auto"/>
        <w:jc w:val="both"/>
        <w:rPr>
          <w:rFonts w:ascii="Lato" w:hAnsi="Lato"/>
          <w:sz w:val="22"/>
          <w:szCs w:val="22"/>
        </w:rPr>
      </w:pPr>
    </w:p>
    <w:p w14:paraId="23522964" w14:textId="77777777" w:rsidR="00DC3507" w:rsidRDefault="00C37627" w:rsidP="00C37627">
      <w:pPr>
        <w:spacing w:after="0" w:line="240" w:lineRule="auto"/>
        <w:jc w:val="both"/>
        <w:rPr>
          <w:rFonts w:ascii="Lato" w:hAnsi="Lato"/>
          <w:sz w:val="22"/>
          <w:szCs w:val="22"/>
        </w:rPr>
      </w:pPr>
      <w:r>
        <w:rPr>
          <w:rFonts w:ascii="Lato" w:hAnsi="Lato"/>
          <w:sz w:val="22"/>
          <w:szCs w:val="22"/>
        </w:rPr>
        <w:t xml:space="preserve">Der BGH hat nun eine Entscheidung zur Unterhaltsverpflichtung der Eltern getroffen, wenn ein Elternteil (erheblich) erweiterten Umgang ausübt. </w:t>
      </w:r>
    </w:p>
    <w:p w14:paraId="0E8D8B63" w14:textId="77777777" w:rsidR="00DC3507" w:rsidRDefault="00DC3507" w:rsidP="00C37627">
      <w:pPr>
        <w:spacing w:after="0" w:line="240" w:lineRule="auto"/>
        <w:jc w:val="both"/>
        <w:rPr>
          <w:rFonts w:ascii="Lato" w:hAnsi="Lato"/>
          <w:sz w:val="22"/>
          <w:szCs w:val="22"/>
        </w:rPr>
      </w:pPr>
    </w:p>
    <w:p w14:paraId="39623438" w14:textId="77777777" w:rsidR="00DC3507" w:rsidRDefault="00DC3507" w:rsidP="00C37627">
      <w:pPr>
        <w:spacing w:after="0" w:line="240" w:lineRule="auto"/>
        <w:jc w:val="both"/>
        <w:rPr>
          <w:rFonts w:ascii="Lato" w:hAnsi="Lato"/>
          <w:sz w:val="22"/>
          <w:szCs w:val="22"/>
        </w:rPr>
      </w:pPr>
      <w:r>
        <w:rPr>
          <w:rFonts w:ascii="Lato" w:hAnsi="Lato"/>
          <w:sz w:val="22"/>
          <w:szCs w:val="22"/>
        </w:rPr>
        <w:t xml:space="preserve">Es bleibt dabei, dass der betreuende Elternteil nicht zum Barunterhalt herangezogen werden kann. </w:t>
      </w:r>
    </w:p>
    <w:p w14:paraId="728FA17A" w14:textId="77777777" w:rsidR="00DC3507" w:rsidRDefault="00DC3507" w:rsidP="00C37627">
      <w:pPr>
        <w:spacing w:after="0" w:line="240" w:lineRule="auto"/>
        <w:jc w:val="both"/>
        <w:rPr>
          <w:rFonts w:ascii="Lato" w:hAnsi="Lato"/>
          <w:sz w:val="22"/>
          <w:szCs w:val="22"/>
        </w:rPr>
      </w:pPr>
    </w:p>
    <w:p w14:paraId="35439DD7" w14:textId="57DC9211" w:rsidR="00DC3507" w:rsidRDefault="00DC3507" w:rsidP="00C37627">
      <w:pPr>
        <w:spacing w:after="0" w:line="240" w:lineRule="auto"/>
        <w:jc w:val="both"/>
        <w:rPr>
          <w:rFonts w:ascii="Lato" w:hAnsi="Lato"/>
          <w:sz w:val="22"/>
          <w:szCs w:val="22"/>
        </w:rPr>
      </w:pPr>
      <w:r>
        <w:rPr>
          <w:rFonts w:ascii="Lato" w:hAnsi="Lato"/>
          <w:sz w:val="22"/>
          <w:szCs w:val="22"/>
        </w:rPr>
        <w:t xml:space="preserve">Aufwendungen des barunterhaltspflichtigen Elternteils, der ein über das übliche Maß hinausgehendes Umgangsrecht wahrnimmt, können mit einer Herabstufung in der Düsseldorfer Tabelle berücksichtigt werden. </w:t>
      </w:r>
    </w:p>
    <w:p w14:paraId="08DF4111" w14:textId="77777777" w:rsidR="00DC3507" w:rsidRDefault="00DC3507" w:rsidP="00C37627">
      <w:pPr>
        <w:spacing w:after="0" w:line="240" w:lineRule="auto"/>
        <w:jc w:val="both"/>
        <w:rPr>
          <w:rFonts w:ascii="Lato" w:hAnsi="Lato"/>
          <w:sz w:val="22"/>
          <w:szCs w:val="22"/>
        </w:rPr>
      </w:pPr>
    </w:p>
    <w:p w14:paraId="5D567DDA" w14:textId="2FD671A9" w:rsidR="00AB7BDC" w:rsidRDefault="00DC3507" w:rsidP="00C37627">
      <w:pPr>
        <w:spacing w:after="0" w:line="240" w:lineRule="auto"/>
        <w:jc w:val="both"/>
        <w:rPr>
          <w:rFonts w:ascii="Lato" w:hAnsi="Lato"/>
          <w:sz w:val="22"/>
          <w:szCs w:val="22"/>
        </w:rPr>
      </w:pPr>
      <w:r>
        <w:rPr>
          <w:rFonts w:ascii="Lato" w:hAnsi="Lato"/>
          <w:sz w:val="22"/>
          <w:szCs w:val="22"/>
        </w:rPr>
        <w:t xml:space="preserve">Wenn Teile des Unterhaltsbedarfs des Kindes beim Umgang gedeckt werden, es also zu einer Entlastung im Haushalt des betreuenden Elternteils kommt, kann der Bedarf – und damit der </w:t>
      </w:r>
      <w:proofErr w:type="gramStart"/>
      <w:r>
        <w:rPr>
          <w:rFonts w:ascii="Lato" w:hAnsi="Lato"/>
          <w:sz w:val="22"/>
          <w:szCs w:val="22"/>
        </w:rPr>
        <w:t>zu</w:t>
      </w:r>
      <w:r w:rsidR="00AB7BDC">
        <w:rPr>
          <w:rFonts w:ascii="Lato" w:hAnsi="Lato"/>
          <w:sz w:val="22"/>
          <w:szCs w:val="22"/>
        </w:rPr>
        <w:t xml:space="preserve"> </w:t>
      </w:r>
      <w:r>
        <w:rPr>
          <w:rFonts w:ascii="Lato" w:hAnsi="Lato"/>
          <w:sz w:val="22"/>
          <w:szCs w:val="22"/>
        </w:rPr>
        <w:t>zahlende Unterhalt</w:t>
      </w:r>
      <w:proofErr w:type="gramEnd"/>
      <w:r>
        <w:rPr>
          <w:rFonts w:ascii="Lato" w:hAnsi="Lato"/>
          <w:sz w:val="22"/>
          <w:szCs w:val="22"/>
        </w:rPr>
        <w:t xml:space="preserve"> </w:t>
      </w:r>
      <w:r w:rsidR="00AB7BDC">
        <w:rPr>
          <w:rFonts w:ascii="Lato" w:hAnsi="Lato"/>
          <w:sz w:val="22"/>
          <w:szCs w:val="22"/>
        </w:rPr>
        <w:t>– weiter</w:t>
      </w:r>
      <w:r>
        <w:rPr>
          <w:rFonts w:ascii="Lato" w:hAnsi="Lato"/>
          <w:sz w:val="22"/>
          <w:szCs w:val="22"/>
        </w:rPr>
        <w:t xml:space="preserve"> </w:t>
      </w:r>
      <w:r w:rsidR="00AB7BDC">
        <w:rPr>
          <w:rFonts w:ascii="Lato" w:hAnsi="Lato"/>
          <w:sz w:val="22"/>
          <w:szCs w:val="22"/>
        </w:rPr>
        <w:t xml:space="preserve">reduziert werden. </w:t>
      </w:r>
    </w:p>
    <w:p w14:paraId="24A028C2" w14:textId="77777777" w:rsidR="00AB7BDC" w:rsidRDefault="00AB7BDC" w:rsidP="00C37627">
      <w:pPr>
        <w:spacing w:after="0" w:line="240" w:lineRule="auto"/>
        <w:jc w:val="both"/>
        <w:rPr>
          <w:rFonts w:ascii="Lato" w:hAnsi="Lato"/>
          <w:sz w:val="22"/>
          <w:szCs w:val="22"/>
        </w:rPr>
      </w:pPr>
    </w:p>
    <w:p w14:paraId="031C21EB" w14:textId="77777777" w:rsidR="008A4ABD" w:rsidRDefault="00AB7BDC" w:rsidP="00C37627">
      <w:pPr>
        <w:spacing w:after="0" w:line="240" w:lineRule="auto"/>
        <w:jc w:val="both"/>
        <w:rPr>
          <w:rFonts w:ascii="Lato" w:hAnsi="Lato"/>
          <w:sz w:val="22"/>
          <w:szCs w:val="22"/>
        </w:rPr>
      </w:pPr>
      <w:r>
        <w:rPr>
          <w:rFonts w:ascii="Lato" w:hAnsi="Lato"/>
          <w:sz w:val="22"/>
          <w:szCs w:val="22"/>
        </w:rPr>
        <w:t xml:space="preserve">Im Wesentlichen bleibt es also bei den bisherigen Grundsätzen, eine Reduzierung des Unterhaltes bei erweitertem Umgang ist möglich, </w:t>
      </w:r>
      <w:r w:rsidR="008A4ABD">
        <w:rPr>
          <w:rFonts w:ascii="Lato" w:hAnsi="Lato"/>
          <w:sz w:val="22"/>
          <w:szCs w:val="22"/>
        </w:rPr>
        <w:t xml:space="preserve">aber begrenzt. </w:t>
      </w:r>
    </w:p>
    <w:p w14:paraId="6F5F2380" w14:textId="77777777" w:rsidR="008A4ABD" w:rsidRDefault="008A4ABD" w:rsidP="00C37627">
      <w:pPr>
        <w:spacing w:after="0" w:line="240" w:lineRule="auto"/>
        <w:jc w:val="both"/>
        <w:rPr>
          <w:rFonts w:ascii="Lato" w:hAnsi="Lato"/>
          <w:sz w:val="22"/>
          <w:szCs w:val="22"/>
        </w:rPr>
      </w:pPr>
    </w:p>
    <w:p w14:paraId="2A2C2A31" w14:textId="77777777" w:rsidR="008A4ABD" w:rsidRDefault="008A4ABD" w:rsidP="00C37627">
      <w:pPr>
        <w:spacing w:after="0" w:line="240" w:lineRule="auto"/>
        <w:jc w:val="both"/>
        <w:rPr>
          <w:rFonts w:ascii="Lato" w:hAnsi="Lato"/>
          <w:sz w:val="22"/>
          <w:szCs w:val="22"/>
        </w:rPr>
      </w:pPr>
      <w:r>
        <w:rPr>
          <w:rFonts w:ascii="Lato" w:hAnsi="Lato"/>
          <w:sz w:val="22"/>
          <w:szCs w:val="22"/>
        </w:rPr>
        <w:t xml:space="preserve">Hier die Leitsätze: </w:t>
      </w:r>
      <w:r w:rsidR="00AB7BDC">
        <w:rPr>
          <w:rFonts w:ascii="Lato" w:hAnsi="Lato"/>
          <w:sz w:val="22"/>
          <w:szCs w:val="22"/>
        </w:rPr>
        <w:t xml:space="preserve">  </w:t>
      </w:r>
    </w:p>
    <w:p w14:paraId="7B1D5287" w14:textId="77777777" w:rsidR="008A4ABD" w:rsidRDefault="008A4ABD" w:rsidP="00C37627">
      <w:pPr>
        <w:spacing w:after="0" w:line="240" w:lineRule="auto"/>
        <w:jc w:val="both"/>
        <w:rPr>
          <w:rFonts w:ascii="Lato" w:hAnsi="Lato"/>
          <w:sz w:val="22"/>
          <w:szCs w:val="22"/>
        </w:rPr>
      </w:pPr>
    </w:p>
    <w:p w14:paraId="349DA88D" w14:textId="5D2AC12E" w:rsidR="008A4ABD" w:rsidRDefault="008A4ABD" w:rsidP="00C37627">
      <w:pPr>
        <w:spacing w:after="0" w:line="240" w:lineRule="auto"/>
        <w:jc w:val="both"/>
        <w:rPr>
          <w:rFonts w:ascii="Lato" w:hAnsi="Lato"/>
          <w:sz w:val="22"/>
          <w:szCs w:val="22"/>
        </w:rPr>
      </w:pPr>
      <w:r w:rsidRPr="008A4ABD">
        <w:rPr>
          <w:rFonts w:ascii="Lato" w:hAnsi="Lato"/>
          <w:sz w:val="22"/>
          <w:szCs w:val="22"/>
        </w:rPr>
        <w:t xml:space="preserve">a) Miteinander verheiratete Eltern sind kraft Gesetzes ausdrücklich von der Vertretung des Kindes in einem Unterhaltsrechtsstreit gegen den jeweils anderen Elternteil ausgeschlossen. Das gilt auch dann, wenn ein Elternteil gegen seinen Ehegatten Kindesunterhalt als </w:t>
      </w:r>
      <w:proofErr w:type="spellStart"/>
      <w:r w:rsidRPr="008A4ABD">
        <w:rPr>
          <w:rFonts w:ascii="Lato" w:hAnsi="Lato"/>
          <w:sz w:val="22"/>
          <w:szCs w:val="22"/>
        </w:rPr>
        <w:t>Verfahrensstandschafter</w:t>
      </w:r>
      <w:proofErr w:type="spellEnd"/>
      <w:r w:rsidRPr="008A4ABD">
        <w:rPr>
          <w:rFonts w:ascii="Lato" w:hAnsi="Lato"/>
          <w:sz w:val="22"/>
          <w:szCs w:val="22"/>
        </w:rPr>
        <w:t xml:space="preserve"> (§ 1629 Abs. 3 BGB) für ein im paritätischen Wechselmodell betreutes Kind geltend machen will (Fortführung der Senatsbeschlüsse BGHZ 239, 378 = FamRZ 2024, 1093 und BGHZ 229, 239 = FamRZ 2021, 1127). </w:t>
      </w:r>
    </w:p>
    <w:p w14:paraId="0DF054B2" w14:textId="77777777" w:rsidR="008A4ABD" w:rsidRDefault="008A4ABD" w:rsidP="00C37627">
      <w:pPr>
        <w:spacing w:after="0" w:line="240" w:lineRule="auto"/>
        <w:jc w:val="both"/>
        <w:rPr>
          <w:rFonts w:ascii="Lato" w:hAnsi="Lato"/>
          <w:sz w:val="22"/>
          <w:szCs w:val="22"/>
        </w:rPr>
      </w:pPr>
    </w:p>
    <w:p w14:paraId="644464D7" w14:textId="77777777" w:rsidR="008A4ABD" w:rsidRDefault="008A4ABD" w:rsidP="00C37627">
      <w:pPr>
        <w:spacing w:after="0" w:line="240" w:lineRule="auto"/>
        <w:jc w:val="both"/>
        <w:rPr>
          <w:rFonts w:ascii="Lato" w:hAnsi="Lato"/>
          <w:sz w:val="22"/>
          <w:szCs w:val="22"/>
        </w:rPr>
      </w:pPr>
      <w:r w:rsidRPr="008A4ABD">
        <w:rPr>
          <w:rFonts w:ascii="Lato" w:hAnsi="Lato"/>
          <w:sz w:val="22"/>
          <w:szCs w:val="22"/>
        </w:rPr>
        <w:t xml:space="preserve">b) § 1606 Abs. 3 Satz 2 BGB stellt den (haupt-)betreuenden Elternteil </w:t>
      </w:r>
      <w:proofErr w:type="gramStart"/>
      <w:r w:rsidRPr="008A4ABD">
        <w:rPr>
          <w:rFonts w:ascii="Lato" w:hAnsi="Lato"/>
          <w:sz w:val="22"/>
          <w:szCs w:val="22"/>
        </w:rPr>
        <w:t>im Regel</w:t>
      </w:r>
      <w:proofErr w:type="gramEnd"/>
      <w:r w:rsidRPr="008A4ABD">
        <w:rPr>
          <w:rFonts w:ascii="Lato" w:hAnsi="Lato"/>
          <w:sz w:val="22"/>
          <w:szCs w:val="22"/>
        </w:rPr>
        <w:t xml:space="preserve"> fall von jeder Heranziehung zum Barunterhalt für das von ihm betreute Kind frei. Der Barunterhaltsanspruch des Kindes kann deshalb auch bei einem (erheblich) erweiterten Umgang des anderen Elternteils nicht in der Weise berechnet werden, dass dem Betreuungselternteil eine anteilige Haftung für den Barunterhalt für diejenige Zeiträume auferlegt wird, in denen sich das Kind beim Umgangselternteil aufhält. </w:t>
      </w:r>
    </w:p>
    <w:p w14:paraId="7EFE822F" w14:textId="77777777" w:rsidR="008A4ABD" w:rsidRDefault="008A4ABD" w:rsidP="00C37627">
      <w:pPr>
        <w:spacing w:after="0" w:line="240" w:lineRule="auto"/>
        <w:jc w:val="both"/>
        <w:rPr>
          <w:rFonts w:ascii="Lato" w:hAnsi="Lato"/>
          <w:sz w:val="22"/>
          <w:szCs w:val="22"/>
        </w:rPr>
      </w:pPr>
    </w:p>
    <w:p w14:paraId="5F8A3809" w14:textId="2EDD687E" w:rsidR="008A4ABD" w:rsidRDefault="008A4ABD" w:rsidP="00C37627">
      <w:pPr>
        <w:spacing w:after="0" w:line="240" w:lineRule="auto"/>
        <w:jc w:val="both"/>
        <w:rPr>
          <w:rFonts w:ascii="Lato" w:hAnsi="Lato"/>
          <w:sz w:val="22"/>
          <w:szCs w:val="22"/>
        </w:rPr>
      </w:pPr>
      <w:r w:rsidRPr="008A4ABD">
        <w:rPr>
          <w:rFonts w:ascii="Lato" w:hAnsi="Lato"/>
          <w:sz w:val="22"/>
          <w:szCs w:val="22"/>
        </w:rPr>
        <w:t xml:space="preserve">c) Nimmt der barunterhaltspflichtige Elternteil ein über das übliche Maß hinaus gehendes Umgangsrecht wahr, können solche Aufwendungen, die als reiner Mehraufwand für die Ausübung des erweiterten Umgangsrechts dem Unterhaltsanspruch des Kindes nicht als bedarfsdeckend entgegengehalten werden können, dem Tatrichter dazu Veranlassung geben, den Barunterhaltsbedarf des Kindes unter Herabstufung um eine oder mehrere Einkommensgruppen der Düsseldorfer Tabelle zu bestimmen (im Anschluss an Senatsbeschluss vom 12. März 2014 - XII ZB 234/13 - FamRZ 2014, 917). </w:t>
      </w:r>
    </w:p>
    <w:p w14:paraId="06BDF04D" w14:textId="77777777" w:rsidR="008A4ABD" w:rsidRDefault="008A4ABD" w:rsidP="00C37627">
      <w:pPr>
        <w:spacing w:after="0" w:line="240" w:lineRule="auto"/>
        <w:jc w:val="both"/>
        <w:rPr>
          <w:rFonts w:ascii="Lato" w:hAnsi="Lato"/>
          <w:sz w:val="22"/>
          <w:szCs w:val="22"/>
        </w:rPr>
      </w:pPr>
    </w:p>
    <w:p w14:paraId="42C8504D" w14:textId="77777777" w:rsidR="008A4ABD" w:rsidRDefault="008A4ABD" w:rsidP="00C37627">
      <w:pPr>
        <w:spacing w:after="0" w:line="240" w:lineRule="auto"/>
        <w:jc w:val="both"/>
        <w:rPr>
          <w:rFonts w:ascii="Lato" w:hAnsi="Lato"/>
          <w:sz w:val="22"/>
          <w:szCs w:val="22"/>
        </w:rPr>
      </w:pPr>
      <w:r w:rsidRPr="008A4ABD">
        <w:rPr>
          <w:rFonts w:ascii="Lato" w:hAnsi="Lato"/>
          <w:sz w:val="22"/>
          <w:szCs w:val="22"/>
        </w:rPr>
        <w:t>d) Der auf diesem Weg ermittelte Unterhalt kann weitergehend gemindert sein, wenn der barunterhaltspflichtige Elternteil dem Kind im Zuge seines erweiterten Umgangsrechts Leistungen erbringt, mit denen er den Unterhaltsbedarf des Kindes deckt und es dadurch mit Erfüllungswirkung zu einer entsprechenden Entlastung im Haushalt des betreuenden Elternteils kommt; den Umfang der Bedarfsdeckung kann der Tatrichter im Wege pauschalierender Schätzung ermitteln und typischerweise mit einem Abzug von 10 % - ausnahmsweise höchstens 15 % - des Unterhaltsbedarfs in Ansatz bringen (Fortführung und Weiterentwicklung des Senatsbeschlusses vom 12. März 2014 - XII ZB 234/13 - FamRZ 2014, 917).</w:t>
      </w:r>
    </w:p>
    <w:p w14:paraId="14ABFD41" w14:textId="77777777" w:rsidR="008A4ABD" w:rsidRDefault="008A4ABD" w:rsidP="00C37627">
      <w:pPr>
        <w:spacing w:after="0" w:line="240" w:lineRule="auto"/>
        <w:jc w:val="both"/>
        <w:rPr>
          <w:rFonts w:ascii="Lato" w:hAnsi="Lato"/>
          <w:sz w:val="22"/>
          <w:szCs w:val="22"/>
        </w:rPr>
      </w:pPr>
    </w:p>
    <w:p w14:paraId="2382B8A3" w14:textId="251F6149" w:rsidR="00C37627" w:rsidRPr="008A4ABD" w:rsidRDefault="008A4ABD" w:rsidP="00C37627">
      <w:pPr>
        <w:spacing w:after="0" w:line="240" w:lineRule="auto"/>
        <w:jc w:val="both"/>
        <w:rPr>
          <w:rFonts w:ascii="Lato" w:hAnsi="Lato"/>
          <w:sz w:val="22"/>
          <w:szCs w:val="22"/>
        </w:rPr>
      </w:pPr>
      <w:r w:rsidRPr="008A4ABD">
        <w:rPr>
          <w:rFonts w:ascii="Lato" w:hAnsi="Lato"/>
          <w:sz w:val="22"/>
          <w:szCs w:val="22"/>
        </w:rPr>
        <w:t>BGH, Beschluss vom 15. April 2026 - XII ZB 415/25 - OLG Düsseldorf</w:t>
      </w:r>
      <w:r>
        <w:rPr>
          <w:rFonts w:ascii="Lato" w:hAnsi="Lato"/>
          <w:sz w:val="22"/>
          <w:szCs w:val="22"/>
        </w:rPr>
        <w:t>,</w:t>
      </w:r>
      <w:bookmarkStart w:id="0" w:name="MerkPosIDE"/>
      <w:bookmarkEnd w:id="0"/>
      <w:r w:rsidRPr="008A4ABD">
        <w:rPr>
          <w:rFonts w:ascii="Lato" w:hAnsi="Lato"/>
          <w:sz w:val="22"/>
          <w:szCs w:val="22"/>
        </w:rPr>
        <w:t xml:space="preserve"> AG Erkelenz</w:t>
      </w:r>
    </w:p>
    <w:sectPr w:rsidR="00C37627" w:rsidRPr="008A4A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AD"/>
    <w:rsid w:val="00263E7B"/>
    <w:rsid w:val="00542847"/>
    <w:rsid w:val="00546CAD"/>
    <w:rsid w:val="008A4ABD"/>
    <w:rsid w:val="00AB7BDC"/>
    <w:rsid w:val="00C37627"/>
    <w:rsid w:val="00D33F1F"/>
    <w:rsid w:val="00DC3507"/>
    <w:rsid w:val="00FC63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8CD3"/>
  <w15:chartTrackingRefBased/>
  <w15:docId w15:val="{A0A1871E-6C9A-40C4-B17C-C7A6DC56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6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6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6C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6C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6C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6CA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6CA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6CA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6CA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C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6C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6C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6C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6C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6C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6C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6C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6CAD"/>
    <w:rPr>
      <w:rFonts w:eastAsiaTheme="majorEastAsia" w:cstheme="majorBidi"/>
      <w:color w:val="272727" w:themeColor="text1" w:themeTint="D8"/>
    </w:rPr>
  </w:style>
  <w:style w:type="paragraph" w:styleId="Titel">
    <w:name w:val="Title"/>
    <w:basedOn w:val="Standard"/>
    <w:next w:val="Standard"/>
    <w:link w:val="TitelZchn"/>
    <w:uiPriority w:val="10"/>
    <w:qFormat/>
    <w:rsid w:val="0054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6C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6CA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6C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6CA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6CAD"/>
    <w:rPr>
      <w:i/>
      <w:iCs/>
      <w:color w:val="404040" w:themeColor="text1" w:themeTint="BF"/>
    </w:rPr>
  </w:style>
  <w:style w:type="paragraph" w:styleId="Listenabsatz">
    <w:name w:val="List Paragraph"/>
    <w:basedOn w:val="Standard"/>
    <w:uiPriority w:val="34"/>
    <w:qFormat/>
    <w:rsid w:val="00546CAD"/>
    <w:pPr>
      <w:ind w:left="720"/>
      <w:contextualSpacing/>
    </w:pPr>
  </w:style>
  <w:style w:type="character" w:styleId="IntensiveHervorhebung">
    <w:name w:val="Intense Emphasis"/>
    <w:basedOn w:val="Absatz-Standardschriftart"/>
    <w:uiPriority w:val="21"/>
    <w:qFormat/>
    <w:rsid w:val="00546CAD"/>
    <w:rPr>
      <w:i/>
      <w:iCs/>
      <w:color w:val="0F4761" w:themeColor="accent1" w:themeShade="BF"/>
    </w:rPr>
  </w:style>
  <w:style w:type="paragraph" w:styleId="IntensivesZitat">
    <w:name w:val="Intense Quote"/>
    <w:basedOn w:val="Standard"/>
    <w:next w:val="Standard"/>
    <w:link w:val="IntensivesZitatZchn"/>
    <w:uiPriority w:val="30"/>
    <w:qFormat/>
    <w:rsid w:val="00546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6CAD"/>
    <w:rPr>
      <w:i/>
      <w:iCs/>
      <w:color w:val="0F4761" w:themeColor="accent1" w:themeShade="BF"/>
    </w:rPr>
  </w:style>
  <w:style w:type="character" w:styleId="IntensiverVerweis">
    <w:name w:val="Intense Reference"/>
    <w:basedOn w:val="Absatz-Standardschriftart"/>
    <w:uiPriority w:val="32"/>
    <w:qFormat/>
    <w:rsid w:val="00546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Tretter</dc:creator>
  <cp:keywords/>
  <dc:description/>
  <cp:lastModifiedBy>Monika Tretter</cp:lastModifiedBy>
  <cp:revision>2</cp:revision>
  <cp:lastPrinted>2026-06-29T10:30:00Z</cp:lastPrinted>
  <dcterms:created xsi:type="dcterms:W3CDTF">2026-06-29T09:06:00Z</dcterms:created>
  <dcterms:modified xsi:type="dcterms:W3CDTF">2026-06-29T14:28:00Z</dcterms:modified>
</cp:coreProperties>
</file>